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EEB5D" w14:textId="77777777" w:rsidR="009F6A31" w:rsidRDefault="00000000">
      <w:pPr>
        <w:spacing w:after="40"/>
        <w:jc w:val="center"/>
      </w:pPr>
      <w:r>
        <w:rPr>
          <w:b/>
          <w:bCs/>
        </w:rPr>
        <w:t>BILJEŠKE UZ FINANCIJSKE IZVJEŠTAJE</w:t>
      </w:r>
    </w:p>
    <w:p w14:paraId="07880DA7" w14:textId="77777777" w:rsidR="009F6A31" w:rsidRDefault="00000000">
      <w:pPr>
        <w:spacing w:after="200"/>
        <w:jc w:val="center"/>
      </w:pPr>
      <w:r>
        <w:t>za razdoblje od 01.01.2026. do 30.06.2026.</w:t>
      </w:r>
    </w:p>
    <w:p w14:paraId="0980825C" w14:textId="77777777" w:rsidR="009F6A31" w:rsidRDefault="00000000">
      <w:pPr>
        <w:spacing w:after="160"/>
        <w:jc w:val="both"/>
      </w:pPr>
      <w:r>
        <w:t>RKP broj: 53847</w:t>
      </w:r>
    </w:p>
    <w:p w14:paraId="2215A9DD" w14:textId="77777777" w:rsidR="009F6A31" w:rsidRDefault="00000000">
      <w:pPr>
        <w:spacing w:after="160"/>
        <w:jc w:val="both"/>
      </w:pPr>
      <w:r>
        <w:t>Naziv obveznika: Centar za pružanje usluga u zajednici – centar za starije osobe Ragusa</w:t>
      </w:r>
    </w:p>
    <w:p w14:paraId="34223DBB" w14:textId="77777777" w:rsidR="009F6A31" w:rsidRDefault="00000000">
      <w:pPr>
        <w:spacing w:after="160"/>
        <w:jc w:val="both"/>
      </w:pPr>
      <w:r>
        <w:t>Razina: 21</w:t>
      </w:r>
    </w:p>
    <w:p w14:paraId="20A6FC7D" w14:textId="77777777" w:rsidR="009F6A31" w:rsidRDefault="00000000">
      <w:pPr>
        <w:pStyle w:val="Naslov1"/>
        <w:spacing w:before="240" w:after="120"/>
      </w:pPr>
      <w:r>
        <w:t>UVOD</w:t>
      </w:r>
    </w:p>
    <w:p w14:paraId="4130FAD0" w14:textId="77777777" w:rsidR="009F6A31" w:rsidRDefault="00000000">
      <w:pPr>
        <w:spacing w:after="160"/>
        <w:jc w:val="both"/>
      </w:pPr>
      <w:r>
        <w:t>Centar za pružanje usluga u zajednici – centar za starije osobe Ragusa javna je ustanova socijalne skrbi koja obavlja djelatnost skrbi izvan vlastite obitelji za starije i nemoćne osobe, sukladno Zakonu o socijalnoj skrbi, odluci o osnivanju i Statutu Ustanove.</w:t>
      </w:r>
    </w:p>
    <w:p w14:paraId="0F12C845" w14:textId="77777777" w:rsidR="009F6A31" w:rsidRDefault="00000000">
      <w:pPr>
        <w:spacing w:after="160"/>
        <w:jc w:val="both"/>
      </w:pPr>
      <w:r>
        <w:t>Financijski izvještaji za razdoblje od 1. siječnja do 30. lipnja 2026. godine sastavljeni su sukladno odredbama Zakona o proračunu (NN 144/21) i Pravilnika o financijskom izvještavanju u proračunskom računovodstvu (NN 37/22 i 52/25), prema načelu nastanka događaja.</w:t>
      </w:r>
    </w:p>
    <w:p w14:paraId="5E99B636" w14:textId="77777777" w:rsidR="009F6A31" w:rsidRDefault="00000000">
      <w:pPr>
        <w:spacing w:after="160"/>
        <w:jc w:val="both"/>
      </w:pPr>
      <w:r>
        <w:t>Bilješke uz financijske izvještaje sastavljene su radi dodatnog pojašnjenja podataka iskazanih u obrascu PR-RAS i Izvještaju o obvezama, odnosno značajnijih odstupanja u odnosu na isto izvještajno razdoblje prethodne godine.</w:t>
      </w:r>
    </w:p>
    <w:p w14:paraId="49F029D5" w14:textId="77777777" w:rsidR="009F6A31" w:rsidRDefault="00000000">
      <w:pPr>
        <w:spacing w:before="200" w:after="100"/>
      </w:pPr>
      <w:r>
        <w:rPr>
          <w:b/>
          <w:bCs/>
        </w:rPr>
        <w:t>Bilješka 1. – Izvještaj o prihodima i rashodima, primicima i izdacima (PR-RAS)</w:t>
      </w:r>
    </w:p>
    <w:p w14:paraId="1D819FA8" w14:textId="77777777" w:rsidR="009F6A31" w:rsidRDefault="00000000">
      <w:pPr>
        <w:spacing w:after="160"/>
        <w:jc w:val="both"/>
      </w:pPr>
      <w:r>
        <w:t>Ukupni prihodi poslovanja (šifra 6) ostvareni su u iznosu od 881.015,83 EUR, dok su u istom razdoblju prethodne godine iznosili 528.320,86 EUR, što predstavlja povećanje od 352.694,97 EUR, odnosno 66,8 % (indeks 166,8 %). Povećanje je najvećim dijelom rezultat rasta prihoda iz nadležnog proračuna i znatno povećanih prihoda od pruženih usluga.</w:t>
      </w:r>
    </w:p>
    <w:p w14:paraId="10D6AA41" w14:textId="77777777" w:rsidR="009F6A31" w:rsidRDefault="00000000">
      <w:pPr>
        <w:spacing w:after="160"/>
        <w:jc w:val="both"/>
      </w:pPr>
      <w:r>
        <w:t>Rashodi poslovanja (šifra 3) iznosili su 870.722,96 EUR, dok su u istom razdoblju prethodne godine iznosili 592.887,29 EUR, što predstavlja povećanje od 277.835,67 EUR, odnosno 46,9 % (indeks 146,9 %), prvenstveno zbog rasta rashoda za zaposlene. Rashodi za nabavu nefinancijske imovine (šifra 4) u izvještajnom razdoblju nisu ostvareni, dok su prethodne godine iznosili 8.166,29 EUR.</w:t>
      </w:r>
    </w:p>
    <w:p w14:paraId="164E3843" w14:textId="77777777" w:rsidR="009F6A31" w:rsidRDefault="00000000">
      <w:pPr>
        <w:spacing w:after="160"/>
        <w:jc w:val="both"/>
      </w:pPr>
      <w:r>
        <w:t>Ukupni prihodi (X067) u izvještajnom razdoblju iznose 881.015,83 EUR (prethodne godine 528.320,86 EUR), a ukupni rashodi (Y034) 870.722,96 EUR (prethodne godine 601.053,58 EUR). Ostvareni financijski rezultat detaljnije je razrađen u Bilješci 12.</w:t>
      </w:r>
    </w:p>
    <w:p w14:paraId="51D1221A" w14:textId="77777777" w:rsidR="009F6A31" w:rsidRDefault="00000000">
      <w:pPr>
        <w:spacing w:before="200" w:after="100"/>
      </w:pPr>
      <w:r>
        <w:rPr>
          <w:b/>
          <w:bCs/>
        </w:rPr>
        <w:t>Bilješka 2. – Prihodi od pruženih usluga</w:t>
      </w:r>
    </w:p>
    <w:p w14:paraId="5F162F63" w14:textId="77777777" w:rsidR="009F6A31" w:rsidRDefault="00000000">
      <w:pPr>
        <w:spacing w:after="160"/>
        <w:jc w:val="both"/>
      </w:pPr>
      <w:r>
        <w:t>Prihodi od pruženih usluga (račun 6615) ostvareni su u iznosu od 150.757,86 EUR, dok su u istom razdoblju prethodne godine iznosili 32.929,28 EUR, što predstavlja povećanje od 117.828,58 EUR, odnosno 357,8 % (indeks 457,8 %). Povećanje je posljedica znatno povećanog opsega usluga pruženih korisnicima izvan redovnog financiranja iz nadležnog proračuna.</w:t>
      </w:r>
    </w:p>
    <w:p w14:paraId="7124D10A" w14:textId="77777777" w:rsidR="009F6A31" w:rsidRDefault="00000000">
      <w:pPr>
        <w:spacing w:before="200" w:after="100"/>
      </w:pPr>
      <w:r>
        <w:rPr>
          <w:b/>
          <w:bCs/>
        </w:rPr>
        <w:t>Bilješka 3. – Prihodi iz nadležnog proračuna</w:t>
      </w:r>
    </w:p>
    <w:p w14:paraId="2C7451F0" w14:textId="77777777" w:rsidR="009F6A31" w:rsidRDefault="00000000">
      <w:pPr>
        <w:spacing w:after="160"/>
        <w:jc w:val="both"/>
      </w:pPr>
      <w:r>
        <w:t>Prihodi iz nadležnog proračuna za financiranje rashoda poslovanja (račun 671/6711) povećani su s 495.391,53 EUR na 730.257,29 EUR, što predstavlja povećanje od 234.865,76 EUR, odnosno 47,4 % (indeks 147,4 %), zbog povećanih sredstava osiguranih za financiranje redovne djelatnosti Ustanove. Ova stavka i dalje čini najznačajniji izvor financiranja, s udjelom od 82,9 % u ukupnim prihodima poslovanja.</w:t>
      </w:r>
    </w:p>
    <w:p w14:paraId="05782DD9" w14:textId="77777777" w:rsidR="009F6A31" w:rsidRDefault="00000000">
      <w:pPr>
        <w:spacing w:before="200" w:after="100"/>
      </w:pPr>
      <w:r>
        <w:rPr>
          <w:b/>
          <w:bCs/>
        </w:rPr>
        <w:t>Bilješka 4. – Rashodi za zaposlene</w:t>
      </w:r>
    </w:p>
    <w:p w14:paraId="6E838026" w14:textId="77777777" w:rsidR="009F6A31" w:rsidRDefault="00000000">
      <w:pPr>
        <w:spacing w:after="160"/>
        <w:jc w:val="both"/>
      </w:pPr>
      <w:r>
        <w:t>Rashodi za zaposlene (šifra 31) iznosili su 458.937,43 EUR, dok su u istom razdoblju prethodne godine iznosili 251.875,55 EUR, što predstavlja povećanje od 207.061,88 EUR, odnosno 82,2 % (indeks 182,2 %). Rast je posljedica usklađenja osnovice za obračun plaća i povećanog broja zaposlenih. Plaće (bruto, račun 311) porasle su sa 212.367,54 EUR na 379.017,85 EUR (+78,5 %), a doprinosi na plaće (račun 313) rasli su razmjerno, s 35.040,65 EUR na 62.905,18 EUR (+79,5 %).</w:t>
      </w:r>
    </w:p>
    <w:p w14:paraId="45D812FD" w14:textId="77777777" w:rsidR="009F6A31" w:rsidRDefault="00000000">
      <w:pPr>
        <w:spacing w:after="160"/>
        <w:jc w:val="both"/>
      </w:pPr>
      <w:r>
        <w:t>Udio rashoda za zaposlene u ukupnim rashodima poslovanja porastao je s 42,5 % na 52,7 %, čime je ova skupina postala dominantna stavka u strukturi rashoda Ustanove.</w:t>
      </w:r>
    </w:p>
    <w:p w14:paraId="0D5D3E05" w14:textId="77777777" w:rsidR="009F6A31" w:rsidRDefault="00000000">
      <w:pPr>
        <w:spacing w:before="200" w:after="100"/>
      </w:pPr>
      <w:r>
        <w:rPr>
          <w:b/>
          <w:bCs/>
        </w:rPr>
        <w:t>Bilješka 5. – Plaće za redovan rad</w:t>
      </w:r>
    </w:p>
    <w:p w14:paraId="4D20EB94" w14:textId="77777777" w:rsidR="009F6A31" w:rsidRDefault="00000000">
      <w:pPr>
        <w:spacing w:after="160"/>
        <w:jc w:val="both"/>
      </w:pPr>
      <w:r>
        <w:lastRenderedPageBreak/>
        <w:t>Rashodi za plaće za redovan rad (račun 3111) povećani su s 212.367,54 EUR na 379.017,85 EUR, što predstavlja povećanje od 166.650,31 EUR, odnosno 78,5 % (indeks 178,5 %), kao rezultat usklađenja osnovice i koeficijenata za obračun plaća te povećanog broja zaposlenika.</w:t>
      </w:r>
    </w:p>
    <w:p w14:paraId="02FA7B97" w14:textId="77777777" w:rsidR="009F6A31" w:rsidRDefault="00000000">
      <w:pPr>
        <w:spacing w:before="200" w:after="100"/>
      </w:pPr>
      <w:r>
        <w:rPr>
          <w:b/>
          <w:bCs/>
        </w:rPr>
        <w:t>Bilješka 6. – Materijalni rashodi</w:t>
      </w:r>
    </w:p>
    <w:p w14:paraId="5E63F5C5" w14:textId="77777777" w:rsidR="009F6A31" w:rsidRDefault="00000000">
      <w:pPr>
        <w:spacing w:after="160"/>
        <w:jc w:val="both"/>
      </w:pPr>
      <w:r>
        <w:t>Materijalni rashodi (šifra 32) iznosili su 411.300,62 EUR, dok su u istom razdoblju prethodne godine iznosili 340.460,82 EUR, što predstavlja povećanje od 70.839,80 EUR, odnosno 20,8 % (indeks 120,8 %), prvenstveno zbog rasta rashoda za usluge, dok su rashodi za materijal i energiju te dio usluga smanjeni zahvaljujući mjerama racionalizacije poslovanja.</w:t>
      </w:r>
    </w:p>
    <w:p w14:paraId="3BD85CF6" w14:textId="77777777" w:rsidR="009F6A31" w:rsidRDefault="00000000">
      <w:pPr>
        <w:spacing w:before="200" w:after="100"/>
      </w:pPr>
      <w:r>
        <w:rPr>
          <w:b/>
          <w:bCs/>
        </w:rPr>
        <w:t>Bilješka 7. – Zakupnine i najamnine</w:t>
      </w:r>
    </w:p>
    <w:p w14:paraId="76732467" w14:textId="77777777" w:rsidR="009F6A31" w:rsidRDefault="00000000">
      <w:pPr>
        <w:spacing w:after="160"/>
        <w:jc w:val="both"/>
      </w:pPr>
      <w:r>
        <w:t>Rashodi za zakupnine i najamnine (račun 3235) iznosili su 225.110,18 EUR, gotovo nepromijenjeni u odnosu na 225.119,45 EUR u istom razdoblju prethodne godine (indeks 100,0 %). Riječ je o najznačajnijoj pojedinačnoj stavci unutar materijalnih rashoda, s udjelom od 25,9 % u ukupnim rashodima poslovanja, koja se odnosi na zakup poslovnog prostora Ustanove.</w:t>
      </w:r>
    </w:p>
    <w:p w14:paraId="3A4877DB" w14:textId="77777777" w:rsidR="009F6A31" w:rsidRDefault="00000000">
      <w:pPr>
        <w:spacing w:before="200" w:after="100"/>
      </w:pPr>
      <w:r>
        <w:rPr>
          <w:b/>
          <w:bCs/>
        </w:rPr>
        <w:t>Bilješka 8. – Ostale usluge</w:t>
      </w:r>
    </w:p>
    <w:p w14:paraId="092AF0E4" w14:textId="77777777" w:rsidR="009F6A31" w:rsidRDefault="00000000">
      <w:pPr>
        <w:spacing w:after="160"/>
        <w:jc w:val="both"/>
      </w:pPr>
      <w:r>
        <w:t>Rashodi za ostale usluge (račun 3239) povećani su s 21.760,18 EUR na 96.437,02 EUR, što predstavlja povećanje od 74.676,84 EUR, odnosno 343,2 % (indeks 443,2 %). Riječ je o najizraženijem porastu unutar rashoda za usluge, a odnosi se na povećan opseg vanjskih usluga angažiranih radi proširenja kapaciteta skrbi o korisnicima.</w:t>
      </w:r>
    </w:p>
    <w:p w14:paraId="4F68169F" w14:textId="77777777" w:rsidR="009F6A31" w:rsidRDefault="00000000">
      <w:pPr>
        <w:spacing w:before="200" w:after="100"/>
      </w:pPr>
      <w:r>
        <w:rPr>
          <w:b/>
          <w:bCs/>
        </w:rPr>
        <w:t>Bilješka 9. – Usluge tekućeg i investicijskog održavanja</w:t>
      </w:r>
    </w:p>
    <w:p w14:paraId="6738A9A7" w14:textId="77777777" w:rsidR="009F6A31" w:rsidRDefault="00000000">
      <w:pPr>
        <w:spacing w:after="160"/>
        <w:jc w:val="both"/>
      </w:pPr>
      <w:r>
        <w:t>Rashodi za usluge tekućeg i investicijskog održavanja (račun 3232) smanjeni su s 26.282,31 EUR na 11.668,01 EUR, što predstavlja smanjenje od 14.614,30 EUR, odnosno 55,6 % (indeks 44,4 %), jer su opsežniji radovi održavanja provedeni u istom razdoblju prethodne godine.</w:t>
      </w:r>
    </w:p>
    <w:p w14:paraId="03D147FC" w14:textId="77777777" w:rsidR="009F6A31" w:rsidRDefault="00000000">
      <w:pPr>
        <w:spacing w:before="200" w:after="100"/>
      </w:pPr>
      <w:r>
        <w:rPr>
          <w:b/>
          <w:bCs/>
        </w:rPr>
        <w:t>Bilješka 10. – Intelektualne i osobne usluge</w:t>
      </w:r>
    </w:p>
    <w:p w14:paraId="0EC339A2" w14:textId="77777777" w:rsidR="009F6A31" w:rsidRDefault="00000000">
      <w:pPr>
        <w:spacing w:after="160"/>
        <w:jc w:val="both"/>
      </w:pPr>
      <w:r>
        <w:t>Rashodi za intelektualne i osobne usluge (račun 3237) povećani su s 14.411,16 EUR na 23.552,16 EUR, što predstavlja povećanje od 9.141,00 EUR, odnosno 63,4 % (indeks 163,4 %), zbog većeg angažmana vanjskih stručnih suradnika u pružanju usluga korisnicima.</w:t>
      </w:r>
    </w:p>
    <w:p w14:paraId="7286C055" w14:textId="77777777" w:rsidR="009F6A31" w:rsidRDefault="00000000">
      <w:pPr>
        <w:spacing w:before="200" w:after="100"/>
      </w:pPr>
      <w:r>
        <w:rPr>
          <w:b/>
          <w:bCs/>
        </w:rPr>
        <w:t>Bilješka 11. – Rashodi za nabavu nefinancijske imovine</w:t>
      </w:r>
    </w:p>
    <w:p w14:paraId="368D7DD5" w14:textId="77777777" w:rsidR="009F6A31" w:rsidRDefault="00000000">
      <w:pPr>
        <w:spacing w:after="160"/>
        <w:jc w:val="both"/>
      </w:pPr>
      <w:r>
        <w:t>Rashodi za nabavu nefinancijske imovine (šifra 4) u izvještajnom razdoblju nisu ostvareni, dok su u istom razdoblju prethodne godine iznosili 8.166,29 EUR (uredska, medicinska i laboratorijska oprema te uređaji za ostale namjene). Izostanak ulaganja posljedica je preusmjeravanja sredstava na pokriće povećanih rashoda za zaposlene.</w:t>
      </w:r>
    </w:p>
    <w:p w14:paraId="6D211F14" w14:textId="77777777" w:rsidR="009F6A31" w:rsidRDefault="00000000">
      <w:pPr>
        <w:spacing w:before="200" w:after="100"/>
      </w:pPr>
      <w:r>
        <w:rPr>
          <w:b/>
          <w:bCs/>
        </w:rPr>
        <w:t>Bilješka 12. – Financijski rezultat poslovanja</w:t>
      </w:r>
    </w:p>
    <w:p w14:paraId="2AB24624" w14:textId="77777777" w:rsidR="009F6A31" w:rsidRDefault="00000000">
      <w:pPr>
        <w:spacing w:after="160"/>
        <w:jc w:val="both"/>
      </w:pPr>
      <w:r>
        <w:t>U izvještajnom razdoblju ostvaren je višak prihoda poslovanja (X001/Y001) u iznosu od 10.292,87 EUR, dok je u istom razdoblju prethodne godine zabilježen manjak od 64.566,43 EUR – pozitivan obrat rezultata u ukupnom iznosu od 74.859,30 EUR.</w:t>
      </w:r>
    </w:p>
    <w:p w14:paraId="1439A0EE" w14:textId="77777777" w:rsidR="009F6A31" w:rsidRDefault="00000000">
      <w:pPr>
        <w:spacing w:before="200" w:after="100"/>
      </w:pPr>
      <w:r>
        <w:rPr>
          <w:b/>
          <w:bCs/>
        </w:rPr>
        <w:t>Bilješka 13. – Obveze</w:t>
      </w:r>
    </w:p>
    <w:p w14:paraId="01DF99BD" w14:textId="77777777" w:rsidR="009F6A31" w:rsidRDefault="00000000">
      <w:pPr>
        <w:spacing w:after="160"/>
        <w:jc w:val="both"/>
      </w:pPr>
      <w:r>
        <w:t>Stanje obveza na dan 1. siječnja 2026. godine iznosilo je 100.127,87 EUR, sukladno Izvještaju o obvezama na dan 31. prosinca 2025. godine.</w:t>
      </w:r>
    </w:p>
    <w:p w14:paraId="7A19A1E0" w14:textId="77777777" w:rsidR="009F6A31" w:rsidRDefault="00000000">
      <w:pPr>
        <w:spacing w:after="160"/>
        <w:jc w:val="both"/>
      </w:pPr>
      <w:r>
        <w:t>Tijekom izvještajnog razdoblja obveze su povećane za 870.892,06 EUR, a u cijelosti se odnose na obveze za rashode poslovanja (458.937,43 EUR za zaposlene, 411.469,72 EUR za materijalne rashode i 484,91 EUR za financijske rashode). U istom razdoblju podmirene su obveze u iznosu od 888.727,93 EUR.</w:t>
      </w:r>
    </w:p>
    <w:p w14:paraId="446413C0" w14:textId="77777777" w:rsidR="009F6A31" w:rsidRDefault="00000000">
      <w:pPr>
        <w:spacing w:after="160"/>
        <w:jc w:val="both"/>
      </w:pPr>
      <w:r>
        <w:t>Slijedom navedenog, stanje obveza na dan 30. lipnja 2026. godine iznosi 82.292,00 EUR, što predstavlja smanjenje od 17.835,87 EUR, odnosno 17,8 % u odnosu na stanje na početku godine (indeks 82,2 %). Od ukupnog iznosa nema dospjelih obveza, odnosno sve obveze su nedospjele i dospijevaju na plaćanje u sljedećem izvještajnom razdoblju. Na dan izvještajnog razdoblja obveznik nema dospjelih obveza (šifra V007 = 0 EUR). Ukupno stanje obveza na kraju razdoblja u iznosu od 82.292,00 EUR u cijelosti se odnosi na nedospjele obveze (šifra V009), odnosno obveze kojima rok plaćanja još nije istekao. Kontrola V006 = V007 + V009 zadovoljena je (82.292,00 = 0,00 + 82.292,00).</w:t>
      </w:r>
    </w:p>
    <w:sectPr w:rsidR="009F6A3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9220B"/>
    <w:multiLevelType w:val="hybridMultilevel"/>
    <w:tmpl w:val="5F04AD3A"/>
    <w:lvl w:ilvl="0" w:tplc="24A409E0">
      <w:start w:val="1"/>
      <w:numFmt w:val="bullet"/>
      <w:lvlText w:val="●"/>
      <w:lvlJc w:val="left"/>
      <w:pPr>
        <w:ind w:left="720" w:hanging="360"/>
      </w:pPr>
    </w:lvl>
    <w:lvl w:ilvl="1" w:tplc="381E373E">
      <w:start w:val="1"/>
      <w:numFmt w:val="bullet"/>
      <w:lvlText w:val="○"/>
      <w:lvlJc w:val="left"/>
      <w:pPr>
        <w:ind w:left="1440" w:hanging="360"/>
      </w:pPr>
    </w:lvl>
    <w:lvl w:ilvl="2" w:tplc="8F02DD02">
      <w:start w:val="1"/>
      <w:numFmt w:val="bullet"/>
      <w:lvlText w:val="■"/>
      <w:lvlJc w:val="left"/>
      <w:pPr>
        <w:ind w:left="2160" w:hanging="360"/>
      </w:pPr>
    </w:lvl>
    <w:lvl w:ilvl="3" w:tplc="598CB26C">
      <w:start w:val="1"/>
      <w:numFmt w:val="bullet"/>
      <w:lvlText w:val="●"/>
      <w:lvlJc w:val="left"/>
      <w:pPr>
        <w:ind w:left="2880" w:hanging="360"/>
      </w:pPr>
    </w:lvl>
    <w:lvl w:ilvl="4" w:tplc="86D8A526">
      <w:start w:val="1"/>
      <w:numFmt w:val="bullet"/>
      <w:lvlText w:val="○"/>
      <w:lvlJc w:val="left"/>
      <w:pPr>
        <w:ind w:left="3600" w:hanging="360"/>
      </w:pPr>
    </w:lvl>
    <w:lvl w:ilvl="5" w:tplc="49AA9240">
      <w:start w:val="1"/>
      <w:numFmt w:val="bullet"/>
      <w:lvlText w:val="■"/>
      <w:lvlJc w:val="left"/>
      <w:pPr>
        <w:ind w:left="4320" w:hanging="360"/>
      </w:pPr>
    </w:lvl>
    <w:lvl w:ilvl="6" w:tplc="051EAF10">
      <w:start w:val="1"/>
      <w:numFmt w:val="bullet"/>
      <w:lvlText w:val="●"/>
      <w:lvlJc w:val="left"/>
      <w:pPr>
        <w:ind w:left="5040" w:hanging="360"/>
      </w:pPr>
    </w:lvl>
    <w:lvl w:ilvl="7" w:tplc="768695C2">
      <w:start w:val="1"/>
      <w:numFmt w:val="bullet"/>
      <w:lvlText w:val="●"/>
      <w:lvlJc w:val="left"/>
      <w:pPr>
        <w:ind w:left="5760" w:hanging="360"/>
      </w:pPr>
    </w:lvl>
    <w:lvl w:ilvl="8" w:tplc="9BAEF486">
      <w:start w:val="1"/>
      <w:numFmt w:val="bullet"/>
      <w:lvlText w:val="●"/>
      <w:lvlJc w:val="left"/>
      <w:pPr>
        <w:ind w:left="6480" w:hanging="360"/>
      </w:pPr>
    </w:lvl>
  </w:abstractNum>
  <w:num w:numId="1" w16cid:durableId="16762219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A31"/>
    <w:rsid w:val="009F6A31"/>
    <w:rsid w:val="00C27684"/>
    <w:rsid w:val="00CC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4C70"/>
  <w15:docId w15:val="{817DD224-6554-4577-B813-71587DFB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1103</Words>
  <Characters>6289</Characters>
  <Application>Microsoft Office Word</Application>
  <DocSecurity>0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racunovodstvo@domragusa.hr</cp:lastModifiedBy>
  <cp:revision>2</cp:revision>
  <dcterms:created xsi:type="dcterms:W3CDTF">2026-07-17T07:43:00Z</dcterms:created>
  <dcterms:modified xsi:type="dcterms:W3CDTF">2026-07-17T07:43:00Z</dcterms:modified>
</cp:coreProperties>
</file>